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DE" w:rsidRDefault="007A698F" w:rsidP="00410BDE">
      <w:pPr>
        <w:jc w:val="center"/>
        <w:rPr>
          <w:sz w:val="36"/>
          <w:szCs w:val="36"/>
        </w:rPr>
      </w:pPr>
      <w:r>
        <w:rPr>
          <w:sz w:val="36"/>
          <w:szCs w:val="36"/>
        </w:rPr>
        <w:t>Cell Signaling and Homeostasis Modeling</w:t>
      </w:r>
    </w:p>
    <w:p w:rsidR="00AB63C0" w:rsidRDefault="00AB63C0" w:rsidP="00410BDE">
      <w:pPr>
        <w:rPr>
          <w:sz w:val="28"/>
          <w:szCs w:val="28"/>
        </w:rPr>
      </w:pPr>
    </w:p>
    <w:p w:rsidR="00822ABC" w:rsidRPr="00410BDE" w:rsidRDefault="007A698F" w:rsidP="00410BDE">
      <w:pPr>
        <w:rPr>
          <w:sz w:val="36"/>
          <w:szCs w:val="36"/>
        </w:rPr>
      </w:pPr>
      <w:r>
        <w:rPr>
          <w:sz w:val="28"/>
          <w:szCs w:val="28"/>
        </w:rPr>
        <w:t xml:space="preserve">Reception </w:t>
      </w:r>
      <w:r w:rsidR="00822ABC" w:rsidRPr="00410BDE">
        <w:rPr>
          <w:sz w:val="24"/>
          <w:szCs w:val="24"/>
        </w:rPr>
        <w:tab/>
      </w:r>
    </w:p>
    <w:p w:rsidR="00432352" w:rsidRPr="00410BDE" w:rsidRDefault="005B3F54" w:rsidP="00822ABC">
      <w:pPr>
        <w:tabs>
          <w:tab w:val="left" w:pos="4065"/>
        </w:tabs>
        <w:rPr>
          <w:sz w:val="24"/>
          <w:szCs w:val="24"/>
        </w:rPr>
      </w:pPr>
      <w:r w:rsidRPr="00410BDE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346075</wp:posOffset>
            </wp:positionV>
            <wp:extent cx="3061970" cy="2286000"/>
            <wp:effectExtent l="6985" t="0" r="0" b="0"/>
            <wp:wrapTight wrapText="bothSides">
              <wp:wrapPolygon edited="0">
                <wp:start x="49" y="21666"/>
                <wp:lineTo x="21416" y="21666"/>
                <wp:lineTo x="21416" y="246"/>
                <wp:lineTo x="49" y="246"/>
                <wp:lineTo x="49" y="2166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DE" w:rsidRPr="00410BD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319405</wp:posOffset>
            </wp:positionV>
            <wp:extent cx="3061970" cy="2286000"/>
            <wp:effectExtent l="6985" t="0" r="0" b="0"/>
            <wp:wrapTight wrapText="bothSides">
              <wp:wrapPolygon edited="0">
                <wp:start x="49" y="21666"/>
                <wp:lineTo x="21416" y="21666"/>
                <wp:lineTo x="21416" y="246"/>
                <wp:lineTo x="49" y="246"/>
                <wp:lineTo x="49" y="2166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Attach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ABC" w:rsidRPr="00410BDE">
        <w:rPr>
          <w:sz w:val="24"/>
          <w:szCs w:val="24"/>
        </w:rPr>
        <w:t xml:space="preserve">The two receptor tyrosine kinase proteins exist individually as polypeptides, each with a signal-binding site outside of the cell. The </w:t>
      </w:r>
      <w:r w:rsidR="00B01E87" w:rsidRPr="00410BDE">
        <w:rPr>
          <w:sz w:val="24"/>
          <w:szCs w:val="24"/>
        </w:rPr>
        <w:t xml:space="preserve">part of the protein in the membrane has </w:t>
      </w:r>
      <w:proofErr w:type="gramStart"/>
      <w:r w:rsidR="00B01E87" w:rsidRPr="00410BDE">
        <w:rPr>
          <w:sz w:val="24"/>
          <w:szCs w:val="24"/>
        </w:rPr>
        <w:t>an α</w:t>
      </w:r>
      <w:proofErr w:type="gramEnd"/>
      <w:r w:rsidR="00B01E87" w:rsidRPr="00410BDE">
        <w:rPr>
          <w:sz w:val="24"/>
          <w:szCs w:val="24"/>
        </w:rPr>
        <w:t xml:space="preserve"> helix. The tail inside the membrane has multiple tyrosines. Kinase is a protein that “phosphorylates,” or adds a phosphate to, another molecule. The signal molecules attach to the binding site causes two receptor polypeptides to associate closely with each other, making a dimer. </w:t>
      </w:r>
    </w:p>
    <w:p w:rsidR="00432352" w:rsidRDefault="00432352" w:rsidP="007A698F">
      <w:pPr>
        <w:rPr>
          <w:sz w:val="28"/>
          <w:szCs w:val="28"/>
        </w:rPr>
      </w:pPr>
    </w:p>
    <w:p w:rsidR="00410BDE" w:rsidRDefault="00410BDE" w:rsidP="007A698F">
      <w:pPr>
        <w:rPr>
          <w:sz w:val="28"/>
          <w:szCs w:val="28"/>
        </w:rPr>
      </w:pPr>
      <w:r>
        <w:rPr>
          <w:sz w:val="28"/>
          <w:szCs w:val="28"/>
        </w:rPr>
        <w:t>Transduction</w:t>
      </w:r>
    </w:p>
    <w:p w:rsidR="005B3F54" w:rsidRPr="005B3F54" w:rsidRDefault="006B47C0" w:rsidP="007A698F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436880</wp:posOffset>
            </wp:positionV>
            <wp:extent cx="3061970" cy="2286000"/>
            <wp:effectExtent l="6985" t="0" r="0" b="0"/>
            <wp:wrapTight wrapText="bothSides">
              <wp:wrapPolygon edited="0">
                <wp:start x="49" y="21666"/>
                <wp:lineTo x="21416" y="21666"/>
                <wp:lineTo x="21416" y="246"/>
                <wp:lineTo x="49" y="246"/>
                <wp:lineTo x="49" y="216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40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457200</wp:posOffset>
            </wp:positionV>
            <wp:extent cx="3061970" cy="2286000"/>
            <wp:effectExtent l="6985" t="0" r="0" b="0"/>
            <wp:wrapTight wrapText="bothSides">
              <wp:wrapPolygon edited="0">
                <wp:start x="49" y="21666"/>
                <wp:lineTo x="21416" y="21666"/>
                <wp:lineTo x="21416" y="246"/>
                <wp:lineTo x="49" y="246"/>
                <wp:lineTo x="49" y="2166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40">
        <w:rPr>
          <w:sz w:val="24"/>
          <w:szCs w:val="24"/>
        </w:rPr>
        <w:t xml:space="preserve">The forming of the dimer, or dimerization, activates the tyrosine-kinase region (the part inside of the cell) of each polypeptide. Every tyrosine kinase adds a phosphate from an ATP molecule to the tail, or end, of the tyrosine on the other polypeptide. </w:t>
      </w:r>
      <w:r>
        <w:rPr>
          <w:sz w:val="24"/>
          <w:szCs w:val="24"/>
        </w:rPr>
        <w:t xml:space="preserve">The ATP that loses one of its phosphates is now ADP. </w:t>
      </w:r>
      <w:r w:rsidR="00345D40">
        <w:rPr>
          <w:sz w:val="24"/>
          <w:szCs w:val="24"/>
        </w:rPr>
        <w:t>The unphosphorylated dimer activated, creating the full activated receptor tyrosine-</w:t>
      </w:r>
      <w:r w:rsidR="00345D40">
        <w:rPr>
          <w:sz w:val="24"/>
          <w:szCs w:val="24"/>
        </w:rPr>
        <w:lastRenderedPageBreak/>
        <w:t xml:space="preserve">kinase, or the phosphorylated dimer.  </w:t>
      </w:r>
    </w:p>
    <w:p w:rsidR="00432352" w:rsidRDefault="004276CF" w:rsidP="007A698F">
      <w:pPr>
        <w:rPr>
          <w:sz w:val="28"/>
          <w:szCs w:val="28"/>
        </w:rPr>
      </w:pPr>
      <w:r>
        <w:rPr>
          <w:sz w:val="28"/>
          <w:szCs w:val="28"/>
        </w:rPr>
        <w:t>Response</w:t>
      </w:r>
    </w:p>
    <w:p w:rsidR="004276CF" w:rsidRDefault="00F372F0" w:rsidP="007A698F">
      <w:pPr>
        <w:rPr>
          <w:rFonts w:cs="Times New Roman"/>
          <w:sz w:val="24"/>
          <w:szCs w:val="24"/>
        </w:rPr>
      </w:pPr>
      <w:r w:rsidRPr="00F372F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501650</wp:posOffset>
            </wp:positionV>
            <wp:extent cx="3061970" cy="2286000"/>
            <wp:effectExtent l="6985" t="0" r="0" b="0"/>
            <wp:wrapTight wrapText="bothSides">
              <wp:wrapPolygon edited="0">
                <wp:start x="49" y="21666"/>
                <wp:lineTo x="21416" y="21666"/>
                <wp:lineTo x="21416" y="246"/>
                <wp:lineTo x="49" y="246"/>
                <wp:lineTo x="49" y="2166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6CF" w:rsidRPr="00F372F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25400</wp:posOffset>
            </wp:positionV>
            <wp:extent cx="3061970" cy="2286000"/>
            <wp:effectExtent l="0" t="0" r="5080" b="0"/>
            <wp:wrapTight wrapText="bothSides">
              <wp:wrapPolygon edited="0">
                <wp:start x="0" y="0"/>
                <wp:lineTo x="0" y="21420"/>
                <wp:lineTo x="21501" y="21420"/>
                <wp:lineTo x="215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6CF" w:rsidRPr="00F372F0">
        <w:rPr>
          <w:sz w:val="24"/>
          <w:szCs w:val="24"/>
        </w:rPr>
        <w:t>When the receptor protein is activated all the way, it is recognized by certain relay proteins inside of the cell.  Every protein binds to a certain phosphorylated tyrosine, experiencing a resulting change in its structure that activates the protein connected to the tyrosine with the phosphate. Each activated protein triggers a pathway for transduction, causing a cellular response.</w:t>
      </w:r>
      <w:r w:rsidRPr="00F372F0">
        <w:rPr>
          <w:rFonts w:cs="Arial"/>
          <w:color w:val="252525"/>
          <w:sz w:val="21"/>
          <w:szCs w:val="21"/>
          <w:shd w:val="clear" w:color="auto" w:fill="FFFFFF"/>
        </w:rPr>
        <w:t xml:space="preserve"> </w:t>
      </w:r>
      <w:r w:rsidRPr="00F372F0">
        <w:rPr>
          <w:rFonts w:cs="Times New Roman"/>
          <w:color w:val="252525"/>
          <w:sz w:val="24"/>
          <w:szCs w:val="24"/>
          <w:shd w:val="clear" w:color="auto" w:fill="FFFFFF"/>
        </w:rPr>
        <w:t xml:space="preserve">One type of receptor tyrosine kinase </w:t>
      </w:r>
      <w:r w:rsidRPr="00F372F0">
        <w:rPr>
          <w:rFonts w:cs="Times New Roman"/>
          <w:sz w:val="24"/>
          <w:szCs w:val="24"/>
          <w:shd w:val="clear" w:color="auto" w:fill="FFFFFF"/>
        </w:rPr>
        <w:t>is required for the survival</w:t>
      </w:r>
      <w:r>
        <w:rPr>
          <w:rFonts w:cs="Times New Roman"/>
          <w:sz w:val="24"/>
          <w:szCs w:val="24"/>
          <w:shd w:val="clear" w:color="auto" w:fill="FFFFFF"/>
        </w:rPr>
        <w:t xml:space="preserve"> and proliferation of migrating </w:t>
      </w:r>
      <w:r w:rsidRPr="00F372F0">
        <w:rPr>
          <w:rFonts w:cs="Times New Roman"/>
          <w:sz w:val="24"/>
          <w:szCs w:val="24"/>
          <w:shd w:val="clear" w:color="auto" w:fill="FFFFFF"/>
        </w:rPr>
        <w:t>myoblasts during</w:t>
      </w:r>
      <w:r w:rsidRPr="00F372F0">
        <w:rPr>
          <w:rFonts w:cs="Times New Roman"/>
          <w:sz w:val="24"/>
          <w:szCs w:val="24"/>
        </w:rPr>
        <w:t xml:space="preserve"> myogenesis.</w:t>
      </w:r>
    </w:p>
    <w:p w:rsidR="00C31E88" w:rsidRDefault="00C31E88" w:rsidP="007A698F">
      <w:pPr>
        <w:rPr>
          <w:rFonts w:cs="Times New Roman"/>
          <w:sz w:val="24"/>
          <w:szCs w:val="24"/>
        </w:rPr>
      </w:pPr>
    </w:p>
    <w:p w:rsidR="00C31E88" w:rsidRDefault="00C31E88" w:rsidP="007A698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Analysis</w:t>
      </w:r>
    </w:p>
    <w:p w:rsidR="0013066F" w:rsidRDefault="0013066F" w:rsidP="00C31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Phosphorylation and dephosphorylation modify the function of the</w:t>
      </w:r>
      <w:r w:rsidR="00C31E88">
        <w:rPr>
          <w:sz w:val="24"/>
          <w:szCs w:val="24"/>
        </w:rPr>
        <w:t xml:space="preserve"> proteins</w:t>
      </w:r>
      <w:bookmarkStart w:id="0" w:name="_GoBack"/>
      <w:bookmarkEnd w:id="0"/>
      <w:r>
        <w:rPr>
          <w:sz w:val="24"/>
          <w:szCs w:val="24"/>
        </w:rPr>
        <w:t xml:space="preserve"> and regulate many cellular processes (growth, cell cycle, apoptosis)</w:t>
      </w:r>
    </w:p>
    <w:p w:rsidR="00C31E88" w:rsidRDefault="0013066F" w:rsidP="00C31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Secondary messengers are inside the cell as signaling molecules released by the cell, triggering physiological changes; one of the first components of intracellular signal transduction cascades</w:t>
      </w:r>
    </w:p>
    <w:p w:rsidR="0013066F" w:rsidRDefault="0013066F" w:rsidP="00C31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They are called secondary messengers because it is stimulated or stopped by the receptor after the first messengers bind to the receptor</w:t>
      </w:r>
    </w:p>
    <w:p w:rsidR="0013066F" w:rsidRDefault="009E5298" w:rsidP="00C31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signaling allows communication between groups of cells called tissues; signaling molecules relay positional information among cells in a tissue, and these pathways maintain the equilibrium</w:t>
      </w:r>
    </w:p>
    <w:p w:rsidR="009E5298" w:rsidRDefault="00DA16B0" w:rsidP="00C31E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Lipid-soluble hormones diffuse across the plasma membrane of cells and bind to the receptors inside the cells, where their signals tell the cell to synthesize more or less mRNA; this results in the amount of protein created</w:t>
      </w:r>
    </w:p>
    <w:p w:rsidR="008B7247" w:rsidRDefault="008B7247" w:rsidP="008B7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Cell membranes control what substances enter or exit the cell, some substances crossing without the use of energy from the cell; diffusion allows the concentration of molecules to reach equilibrium, so that molecules can continue to move equally back </w:t>
      </w:r>
      <w:r>
        <w:rPr>
          <w:sz w:val="24"/>
          <w:szCs w:val="24"/>
        </w:rPr>
        <w:lastRenderedPageBreak/>
        <w:t>and forth across the cell membrane; osmosis, the diffusion of water, allows water molecules to continue to move across the membrane evenly so that there is no net movement</w:t>
      </w:r>
    </w:p>
    <w:p w:rsidR="00870247" w:rsidRPr="008B7247" w:rsidRDefault="00601C4B" w:rsidP="008B72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behavioral mechanism in a desert bird is its breeding during the relatively cool spring, leaving the desert for cooler areas at higher elevations; they are active during the morning and around sunset and stay in shady, cool spots during the hot day; a physiological mechanism of desert animals is their excretion of metabolic wastes as uric acid, which is an insoluble white compound; this wastes very little water, whereas mammals excrete urea, accounting for considerable water loss</w:t>
      </w:r>
    </w:p>
    <w:p w:rsidR="00432352" w:rsidRDefault="00432352" w:rsidP="007A698F">
      <w:pPr>
        <w:rPr>
          <w:sz w:val="28"/>
          <w:szCs w:val="28"/>
        </w:rPr>
      </w:pPr>
    </w:p>
    <w:p w:rsidR="00822ABC" w:rsidRDefault="00432352" w:rsidP="007A698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2ABC" w:rsidRPr="00822ABC" w:rsidRDefault="00822ABC" w:rsidP="00822ABC">
      <w:pPr>
        <w:rPr>
          <w:sz w:val="28"/>
          <w:szCs w:val="28"/>
        </w:rPr>
      </w:pPr>
    </w:p>
    <w:p w:rsidR="00822ABC" w:rsidRPr="00822ABC" w:rsidRDefault="00822ABC" w:rsidP="00822ABC">
      <w:pPr>
        <w:rPr>
          <w:sz w:val="28"/>
          <w:szCs w:val="28"/>
        </w:rPr>
      </w:pPr>
    </w:p>
    <w:p w:rsidR="00822ABC" w:rsidRPr="00822ABC" w:rsidRDefault="00822ABC" w:rsidP="00822ABC">
      <w:pPr>
        <w:rPr>
          <w:sz w:val="28"/>
          <w:szCs w:val="28"/>
        </w:rPr>
      </w:pPr>
    </w:p>
    <w:p w:rsidR="00822ABC" w:rsidRPr="00822ABC" w:rsidRDefault="00822ABC" w:rsidP="00822ABC">
      <w:pPr>
        <w:rPr>
          <w:sz w:val="28"/>
          <w:szCs w:val="28"/>
        </w:rPr>
      </w:pPr>
    </w:p>
    <w:p w:rsidR="00822ABC" w:rsidRDefault="00822ABC" w:rsidP="00822AB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2352" w:rsidRPr="00822ABC" w:rsidRDefault="00432352" w:rsidP="00927748">
      <w:pPr>
        <w:rPr>
          <w:sz w:val="28"/>
          <w:szCs w:val="28"/>
        </w:rPr>
      </w:pPr>
    </w:p>
    <w:sectPr w:rsidR="00432352" w:rsidRPr="00822ABC" w:rsidSect="00685D7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BC" w:rsidRDefault="00822ABC" w:rsidP="00822ABC">
      <w:pPr>
        <w:spacing w:after="0" w:line="240" w:lineRule="auto"/>
      </w:pPr>
      <w:r>
        <w:separator/>
      </w:r>
    </w:p>
  </w:endnote>
  <w:endnote w:type="continuationSeparator" w:id="0">
    <w:p w:rsidR="00822ABC" w:rsidRDefault="00822ABC" w:rsidP="008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BC" w:rsidRDefault="00822ABC" w:rsidP="00822ABC">
      <w:pPr>
        <w:spacing w:after="0" w:line="240" w:lineRule="auto"/>
      </w:pPr>
      <w:r>
        <w:separator/>
      </w:r>
    </w:p>
  </w:footnote>
  <w:footnote w:type="continuationSeparator" w:id="0">
    <w:p w:rsidR="00822ABC" w:rsidRDefault="00822ABC" w:rsidP="0082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F6" w:rsidRDefault="004A7BF6" w:rsidP="004A7BF6">
    <w:pPr>
      <w:pStyle w:val="Header"/>
      <w:jc w:val="right"/>
    </w:pPr>
    <w:r>
      <w:t>Bridgette Ramlo</w:t>
    </w:r>
  </w:p>
  <w:p w:rsidR="004A7BF6" w:rsidRDefault="004A7BF6" w:rsidP="004A7BF6">
    <w:pPr>
      <w:pStyle w:val="Header"/>
      <w:jc w:val="right"/>
    </w:pPr>
    <w:r>
      <w:t>Madison Pejsa</w:t>
    </w:r>
  </w:p>
  <w:p w:rsidR="004A7BF6" w:rsidRDefault="004A7B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A7A2C"/>
    <w:multiLevelType w:val="hybridMultilevel"/>
    <w:tmpl w:val="D5084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98F"/>
    <w:rsid w:val="0013066F"/>
    <w:rsid w:val="00345D40"/>
    <w:rsid w:val="00410BDE"/>
    <w:rsid w:val="004276CF"/>
    <w:rsid w:val="00432352"/>
    <w:rsid w:val="004A7BF6"/>
    <w:rsid w:val="005B3F54"/>
    <w:rsid w:val="00601C4B"/>
    <w:rsid w:val="00685D74"/>
    <w:rsid w:val="006B47C0"/>
    <w:rsid w:val="007A698F"/>
    <w:rsid w:val="00822ABC"/>
    <w:rsid w:val="00870247"/>
    <w:rsid w:val="008B7247"/>
    <w:rsid w:val="00927748"/>
    <w:rsid w:val="009E5298"/>
    <w:rsid w:val="00AB63C0"/>
    <w:rsid w:val="00AF688C"/>
    <w:rsid w:val="00B01E87"/>
    <w:rsid w:val="00C31E88"/>
    <w:rsid w:val="00DA16B0"/>
    <w:rsid w:val="00F3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C"/>
  </w:style>
  <w:style w:type="paragraph" w:styleId="Footer">
    <w:name w:val="footer"/>
    <w:basedOn w:val="Normal"/>
    <w:link w:val="FooterChar"/>
    <w:uiPriority w:val="99"/>
    <w:unhideWhenUsed/>
    <w:rsid w:val="0082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C"/>
  </w:style>
  <w:style w:type="paragraph" w:styleId="ListParagraph">
    <w:name w:val="List Paragraph"/>
    <w:basedOn w:val="Normal"/>
    <w:uiPriority w:val="34"/>
    <w:qFormat/>
    <w:rsid w:val="00822A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7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C"/>
  </w:style>
  <w:style w:type="paragraph" w:styleId="Footer">
    <w:name w:val="footer"/>
    <w:basedOn w:val="Normal"/>
    <w:link w:val="FooterChar"/>
    <w:uiPriority w:val="99"/>
    <w:unhideWhenUsed/>
    <w:rsid w:val="00822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C"/>
  </w:style>
  <w:style w:type="paragraph" w:styleId="ListParagraph">
    <w:name w:val="List Paragraph"/>
    <w:basedOn w:val="Normal"/>
    <w:uiPriority w:val="34"/>
    <w:qFormat/>
    <w:rsid w:val="00822A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7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Ramlo</dc:creator>
  <cp:lastModifiedBy>Owner</cp:lastModifiedBy>
  <cp:revision>19</cp:revision>
  <dcterms:created xsi:type="dcterms:W3CDTF">2014-10-28T16:44:00Z</dcterms:created>
  <dcterms:modified xsi:type="dcterms:W3CDTF">2014-10-30T03:57:00Z</dcterms:modified>
</cp:coreProperties>
</file>